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7" w:type="dxa"/>
        <w:tblCellMar>
          <w:left w:w="0" w:type="dxa"/>
          <w:right w:w="0" w:type="dxa"/>
        </w:tblCellMar>
        <w:tblLook w:val="04A0" w:firstRow="1" w:lastRow="0" w:firstColumn="1" w:lastColumn="0" w:noHBand="0" w:noVBand="1"/>
      </w:tblPr>
      <w:tblGrid>
        <w:gridCol w:w="3564"/>
        <w:gridCol w:w="5863"/>
      </w:tblGrid>
      <w:tr w:rsidR="006C26ED" w:rsidRPr="003D4F34" w:rsidTr="003D4F34">
        <w:trPr>
          <w:trHeight w:val="941"/>
        </w:trPr>
        <w:tc>
          <w:tcPr>
            <w:tcW w:w="3564" w:type="dxa"/>
            <w:tcMar>
              <w:top w:w="0" w:type="dxa"/>
              <w:left w:w="108" w:type="dxa"/>
              <w:bottom w:w="0" w:type="dxa"/>
              <w:right w:w="108" w:type="dxa"/>
            </w:tcMa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HỘI ĐỒNG NHÂN DÂN</w:t>
            </w:r>
            <w:r w:rsidRPr="003D4F34">
              <w:rPr>
                <w:rFonts w:eastAsia="Times New Roman" w:cs="Times New Roman"/>
                <w:b/>
                <w:bCs/>
                <w:color w:val="000000"/>
                <w:sz w:val="28"/>
                <w:szCs w:val="28"/>
              </w:rPr>
              <w:br/>
            </w:r>
            <w:r w:rsidRPr="003D4F34">
              <w:rPr>
                <w:rFonts w:eastAsia="Times New Roman" w:cs="Times New Roman"/>
                <w:b/>
                <w:bCs/>
                <w:color w:val="000000"/>
                <w:sz w:val="28"/>
                <w:szCs w:val="28"/>
                <w:lang w:val="vi-VN"/>
              </w:rPr>
              <w:t>TỈNH ĐẮK NÔNG</w:t>
            </w:r>
            <w:r w:rsidRPr="003D4F34">
              <w:rPr>
                <w:rFonts w:eastAsia="Times New Roman" w:cs="Times New Roman"/>
                <w:b/>
                <w:bCs/>
                <w:color w:val="000000"/>
                <w:sz w:val="28"/>
                <w:szCs w:val="28"/>
                <w:lang w:val="vi-VN"/>
              </w:rPr>
              <w:br/>
              <w:t>-------</w:t>
            </w:r>
          </w:p>
        </w:tc>
        <w:tc>
          <w:tcPr>
            <w:tcW w:w="5863" w:type="dxa"/>
            <w:tcMar>
              <w:top w:w="0" w:type="dxa"/>
              <w:left w:w="108" w:type="dxa"/>
              <w:bottom w:w="0" w:type="dxa"/>
              <w:right w:w="108" w:type="dxa"/>
            </w:tcMa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CỘNG HÒA XÃ HỘI CHỦ NGHĨA VIỆT NAM</w:t>
            </w:r>
            <w:r w:rsidRPr="003D4F34">
              <w:rPr>
                <w:rFonts w:eastAsia="Times New Roman" w:cs="Times New Roman"/>
                <w:b/>
                <w:bCs/>
                <w:color w:val="000000"/>
                <w:sz w:val="28"/>
                <w:szCs w:val="28"/>
                <w:lang w:val="vi-VN"/>
              </w:rPr>
              <w:br/>
              <w:t>Độc lập - Tự do - Hạnh phúc</w:t>
            </w:r>
            <w:r w:rsidRPr="003D4F34">
              <w:rPr>
                <w:rFonts w:eastAsia="Times New Roman" w:cs="Times New Roman"/>
                <w:b/>
                <w:bCs/>
                <w:color w:val="000000"/>
                <w:sz w:val="28"/>
                <w:szCs w:val="28"/>
                <w:lang w:val="vi-VN"/>
              </w:rPr>
              <w:br/>
              <w:t>---------------</w:t>
            </w:r>
          </w:p>
        </w:tc>
      </w:tr>
      <w:tr w:rsidR="006C26ED" w:rsidRPr="003D4F34" w:rsidTr="003D4F34">
        <w:trPr>
          <w:trHeight w:val="392"/>
        </w:trPr>
        <w:tc>
          <w:tcPr>
            <w:tcW w:w="3564" w:type="dxa"/>
            <w:tcMar>
              <w:top w:w="0" w:type="dxa"/>
              <w:left w:w="108" w:type="dxa"/>
              <w:bottom w:w="0" w:type="dxa"/>
              <w:right w:w="108" w:type="dxa"/>
            </w:tcMa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Số: 0</w:t>
            </w:r>
            <w:r w:rsidRPr="003D4F34">
              <w:rPr>
                <w:rFonts w:eastAsia="Times New Roman" w:cs="Times New Roman"/>
                <w:color w:val="000000"/>
                <w:sz w:val="28"/>
                <w:szCs w:val="28"/>
              </w:rPr>
              <w:t>6</w:t>
            </w:r>
            <w:r w:rsidRPr="003D4F34">
              <w:rPr>
                <w:rFonts w:eastAsia="Times New Roman" w:cs="Times New Roman"/>
                <w:color w:val="000000"/>
                <w:sz w:val="28"/>
                <w:szCs w:val="28"/>
                <w:lang w:val="vi-VN"/>
              </w:rPr>
              <w:t>/2021/NQ-HĐND</w:t>
            </w:r>
          </w:p>
        </w:tc>
        <w:tc>
          <w:tcPr>
            <w:tcW w:w="5863" w:type="dxa"/>
            <w:tcMar>
              <w:top w:w="0" w:type="dxa"/>
              <w:left w:w="108" w:type="dxa"/>
              <w:bottom w:w="0" w:type="dxa"/>
              <w:right w:w="108" w:type="dxa"/>
            </w:tcMa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i/>
                <w:iCs/>
                <w:color w:val="000000"/>
                <w:sz w:val="28"/>
                <w:szCs w:val="28"/>
                <w:lang w:val="vi-VN"/>
              </w:rPr>
              <w:t>Đắk Nông, ngày </w:t>
            </w:r>
            <w:r w:rsidRPr="003D4F34">
              <w:rPr>
                <w:rFonts w:eastAsia="Times New Roman" w:cs="Times New Roman"/>
                <w:i/>
                <w:iCs/>
                <w:color w:val="000000"/>
                <w:sz w:val="28"/>
                <w:szCs w:val="28"/>
              </w:rPr>
              <w:t>20</w:t>
            </w:r>
            <w:r w:rsidRPr="003D4F34">
              <w:rPr>
                <w:rFonts w:eastAsia="Times New Roman" w:cs="Times New Roman"/>
                <w:i/>
                <w:iCs/>
                <w:color w:val="000000"/>
                <w:sz w:val="28"/>
                <w:szCs w:val="28"/>
                <w:lang w:val="vi-VN"/>
              </w:rPr>
              <w:t> tháng 8 năm 2021</w:t>
            </w:r>
          </w:p>
        </w:tc>
      </w:tr>
    </w:tbl>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 </w:t>
      </w:r>
    </w:p>
    <w:p w:rsidR="006C26ED" w:rsidRPr="003D4F34" w:rsidRDefault="006C26ED" w:rsidP="006C26ED">
      <w:pPr>
        <w:shd w:val="clear" w:color="auto" w:fill="FEFAF4"/>
        <w:spacing w:before="120" w:after="100" w:afterAutospacing="1" w:line="240" w:lineRule="auto"/>
        <w:jc w:val="center"/>
        <w:rPr>
          <w:rFonts w:eastAsia="Times New Roman" w:cs="Times New Roman"/>
          <w:color w:val="000000"/>
          <w:sz w:val="28"/>
          <w:szCs w:val="28"/>
        </w:rPr>
      </w:pPr>
      <w:bookmarkStart w:id="0" w:name="loai_1"/>
      <w:r w:rsidRPr="003D4F34">
        <w:rPr>
          <w:rFonts w:eastAsia="Times New Roman" w:cs="Times New Roman"/>
          <w:b/>
          <w:bCs/>
          <w:color w:val="000000"/>
          <w:sz w:val="28"/>
          <w:szCs w:val="28"/>
          <w:lang w:val="vi-VN"/>
        </w:rPr>
        <w:t>NGHỊ QUYẾT</w:t>
      </w:r>
      <w:bookmarkEnd w:id="0"/>
    </w:p>
    <w:p w:rsidR="006C26ED" w:rsidRPr="003D4F34" w:rsidRDefault="006C26ED" w:rsidP="006C26ED">
      <w:pPr>
        <w:shd w:val="clear" w:color="auto" w:fill="FEFAF4"/>
        <w:spacing w:before="120" w:after="100" w:afterAutospacing="1" w:line="240" w:lineRule="auto"/>
        <w:jc w:val="center"/>
        <w:rPr>
          <w:rFonts w:eastAsia="Times New Roman" w:cs="Times New Roman"/>
          <w:color w:val="000000"/>
          <w:sz w:val="28"/>
          <w:szCs w:val="28"/>
        </w:rPr>
      </w:pPr>
      <w:bookmarkStart w:id="1" w:name="loai_1_name"/>
      <w:r w:rsidRPr="003D4F34">
        <w:rPr>
          <w:rFonts w:eastAsia="Times New Roman" w:cs="Times New Roman"/>
          <w:color w:val="000000"/>
          <w:sz w:val="28"/>
          <w:szCs w:val="28"/>
          <w:lang w:val="vi-VN"/>
        </w:rPr>
        <w:t>QUY ĐỊNH CÁC KHOẢN THU VÀ MỨC THU CÁC KHOẢN THU DỊCH VỤ PHỤC VỤ, HỖ TRỢ HOẠT ĐỘNG GIÁO DỤC CỦA NHÀ TRƯỜNG ĐỐI VỚI CƠ SỞ GIÁO DỤC CÔNG LẬP TRÊN ĐỊA BÀN TỈNH ĐẮK NÔNG</w:t>
      </w:r>
      <w:bookmarkEnd w:id="1"/>
    </w:p>
    <w:p w:rsidR="006C26ED" w:rsidRPr="003D4F34" w:rsidRDefault="006C26ED" w:rsidP="006C26ED">
      <w:pPr>
        <w:shd w:val="clear" w:color="auto" w:fill="FEFAF4"/>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HỘI ĐỒNG NHÂN DÂN TỈNH ĐẮK NÔNG</w:t>
      </w:r>
      <w:r w:rsidRPr="003D4F34">
        <w:rPr>
          <w:rFonts w:eastAsia="Times New Roman" w:cs="Times New Roman"/>
          <w:b/>
          <w:bCs/>
          <w:color w:val="000000"/>
          <w:sz w:val="28"/>
          <w:szCs w:val="28"/>
          <w:lang w:val="vi-VN"/>
        </w:rPr>
        <w:br/>
        <w:t>KHÓA IV, KỲ HỌP THỨ 2</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i/>
          <w:iCs/>
          <w:color w:val="000000"/>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i/>
          <w:iCs/>
          <w:color w:val="000000"/>
          <w:sz w:val="28"/>
          <w:szCs w:val="28"/>
          <w:lang w:val="vi-VN"/>
        </w:rPr>
        <w:t>Căn cứ Luật Ban hành văn bản quy phạm pháp luật ngày 22 tháng 6 năm 2015; Luật sửa đổi, bổ sung một số điều của Luật Ban hành văn bản quy phạm pháp luật ngày 18 tháng 6 năm 2020;</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i/>
          <w:iCs/>
          <w:color w:val="000000"/>
          <w:sz w:val="28"/>
          <w:szCs w:val="28"/>
          <w:lang w:val="vi-VN"/>
        </w:rPr>
        <w:t>Căn cứ điểm b khoản 6 Điều 99 của Luật Giáo dục ngày 14 tháng 6 năm 2019;</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i/>
          <w:iCs/>
          <w:color w:val="000000"/>
          <w:sz w:val="28"/>
          <w:szCs w:val="28"/>
          <w:lang w:val="vi-VN"/>
        </w:rPr>
        <w:t>Căn cứ Nghị định số 24/2021/NĐ-CP ngày 23 tháng 3 năm 2021 của Chính phủ quy định việc quản lý trong các cơ sở giáo dục m</w:t>
      </w:r>
      <w:r w:rsidRPr="003D4F34">
        <w:rPr>
          <w:rFonts w:eastAsia="Times New Roman" w:cs="Times New Roman"/>
          <w:i/>
          <w:iCs/>
          <w:color w:val="000000"/>
          <w:sz w:val="28"/>
          <w:szCs w:val="28"/>
        </w:rPr>
        <w:t>ầ</w:t>
      </w:r>
      <w:r w:rsidRPr="003D4F34">
        <w:rPr>
          <w:rFonts w:eastAsia="Times New Roman" w:cs="Times New Roman"/>
          <w:i/>
          <w:iCs/>
          <w:color w:val="000000"/>
          <w:sz w:val="28"/>
          <w:szCs w:val="28"/>
          <w:lang w:val="vi-VN"/>
        </w:rPr>
        <w:t>m non và cơ sở giáo dục phổ thông công lập;</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i/>
          <w:iCs/>
          <w:color w:val="000000"/>
          <w:sz w:val="28"/>
          <w:szCs w:val="28"/>
          <w:lang w:val="vi-VN"/>
        </w:rPr>
        <w:t>Xét Tờ trình số 3164/TTr-UBND ngày 18 tháng 6 năm 2021 của Ủy ban nhân dân tỉnh Đắk Nông về việc đề nghị ban hành Nghị quyết về việc quy định các khoản thu và mức thu các khoản thu dịch vụ phục vụ, hỗ trợ hoạt động giáo dục của nhà trường đối với cơ sở giáo dục công lập trên địa bàn tỉnh Đ</w:t>
      </w:r>
      <w:r w:rsidRPr="003D4F34">
        <w:rPr>
          <w:rFonts w:eastAsia="Times New Roman" w:cs="Times New Roman"/>
          <w:i/>
          <w:iCs/>
          <w:color w:val="000000"/>
          <w:sz w:val="28"/>
          <w:szCs w:val="28"/>
          <w:lang w:val="en-GB"/>
        </w:rPr>
        <w:t>ắ</w:t>
      </w:r>
      <w:r w:rsidRPr="003D4F34">
        <w:rPr>
          <w:rFonts w:eastAsia="Times New Roman" w:cs="Times New Roman"/>
          <w:i/>
          <w:iCs/>
          <w:color w:val="000000"/>
          <w:sz w:val="28"/>
          <w:szCs w:val="28"/>
          <w:lang w:val="vi-VN"/>
        </w:rPr>
        <w:t>k Nông; Báo cáo th</w:t>
      </w:r>
      <w:r w:rsidRPr="003D4F34">
        <w:rPr>
          <w:rFonts w:eastAsia="Times New Roman" w:cs="Times New Roman"/>
          <w:i/>
          <w:iCs/>
          <w:color w:val="000000"/>
          <w:sz w:val="28"/>
          <w:szCs w:val="28"/>
        </w:rPr>
        <w:t>ẩ</w:t>
      </w:r>
      <w:r w:rsidRPr="003D4F34">
        <w:rPr>
          <w:rFonts w:eastAsia="Times New Roman" w:cs="Times New Roman"/>
          <w:i/>
          <w:iCs/>
          <w:color w:val="000000"/>
          <w:sz w:val="28"/>
          <w:szCs w:val="28"/>
          <w:lang w:val="vi-VN"/>
        </w:rPr>
        <w:t>m tra của Ban Văn hóa - Xã hội Hội đồng nhân dân tỉnh; ý kiến thảo luận của đại biểu Hội đồng nhân dân tại kỳ họp.</w:t>
      </w:r>
    </w:p>
    <w:p w:rsidR="006C26ED" w:rsidRPr="003D4F34" w:rsidRDefault="006C26ED" w:rsidP="006C26ED">
      <w:pPr>
        <w:shd w:val="clear" w:color="auto" w:fill="FEFAF4"/>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QUYẾT NGHỊ:</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bookmarkStart w:id="2" w:name="dieu_1"/>
      <w:r w:rsidRPr="003D4F34">
        <w:rPr>
          <w:rFonts w:eastAsia="Times New Roman" w:cs="Times New Roman"/>
          <w:b/>
          <w:bCs/>
          <w:color w:val="000000"/>
          <w:sz w:val="28"/>
          <w:szCs w:val="28"/>
          <w:lang w:val="vi-VN"/>
        </w:rPr>
        <w:t>Điều 1. Quy định các khoản thu và mức thu các khoản thu dịch vụ phục vụ, hỗ trợ hoạt động giáo dục của nhà trường đối với cơ sở giáo dục công lập trên địa bàn tỉnh Đắk Nông</w:t>
      </w:r>
      <w:bookmarkEnd w:id="2"/>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1. Phạm vi điều chỉnh</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Quy định nội dung, mức thu các khoản thu dịch vụ phục vụ, hỗ trợ hoạt động giáo dục của nhà trường đối với cơ sở giáo dục mầm non, phổ thông công lập trên địa bàn tỉnh Đắk Nông.</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2. Đối tượng áp dụng</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lastRenderedPageBreak/>
        <w:t>a) Cơ sở giáo dục mầm non, phổ thông công lập trên địa bàn tỉnh.</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b) Học sinh, phụ huynh học sinh có con, em đang học tập tại các cơ sở giáo dục công lập trên địa bàn tỉnh.</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c) Các cơ quan, tổ chức có liên quan.</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3. Các khoản thu và mức thu các khoản thu dịch vụ phục vụ:</w:t>
      </w:r>
    </w:p>
    <w:tbl>
      <w:tblPr>
        <w:tblW w:w="5000" w:type="pct"/>
        <w:shd w:val="clear" w:color="auto" w:fill="FFFFFF"/>
        <w:tblCellMar>
          <w:left w:w="0" w:type="dxa"/>
          <w:right w:w="0" w:type="dxa"/>
        </w:tblCellMar>
        <w:tblLook w:val="04A0" w:firstRow="1" w:lastRow="0" w:firstColumn="1" w:lastColumn="0" w:noHBand="0" w:noVBand="1"/>
      </w:tblPr>
      <w:tblGrid>
        <w:gridCol w:w="628"/>
        <w:gridCol w:w="4917"/>
        <w:gridCol w:w="2510"/>
        <w:gridCol w:w="2301"/>
      </w:tblGrid>
      <w:tr w:rsidR="006C26ED" w:rsidRPr="003D4F34" w:rsidTr="006C26ED">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TT</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Các khoản thu d</w:t>
            </w:r>
            <w:r w:rsidRPr="003D4F34">
              <w:rPr>
                <w:rFonts w:eastAsia="Times New Roman" w:cs="Times New Roman"/>
                <w:b/>
                <w:bCs/>
                <w:color w:val="000000"/>
                <w:sz w:val="28"/>
                <w:szCs w:val="28"/>
              </w:rPr>
              <w:t>ị</w:t>
            </w:r>
            <w:r w:rsidRPr="003D4F34">
              <w:rPr>
                <w:rFonts w:eastAsia="Times New Roman" w:cs="Times New Roman"/>
                <w:b/>
                <w:bCs/>
                <w:color w:val="000000"/>
                <w:sz w:val="28"/>
                <w:szCs w:val="28"/>
                <w:lang w:val="vi-VN"/>
              </w:rPr>
              <w:t>ch v</w:t>
            </w:r>
            <w:r w:rsidRPr="003D4F34">
              <w:rPr>
                <w:rFonts w:eastAsia="Times New Roman" w:cs="Times New Roman"/>
                <w:b/>
                <w:bCs/>
                <w:color w:val="000000"/>
                <w:sz w:val="28"/>
                <w:szCs w:val="28"/>
              </w:rPr>
              <w:t>ụ</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Đơn vị tính</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Mức thu tối đa</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1</w:t>
            </w:r>
          </w:p>
        </w:tc>
        <w:tc>
          <w:tcPr>
            <w:tcW w:w="4650" w:type="pct"/>
            <w:gridSpan w:val="3"/>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b/>
                <w:bCs/>
                <w:color w:val="000000"/>
                <w:sz w:val="28"/>
                <w:szCs w:val="28"/>
                <w:lang w:val="vi-VN"/>
              </w:rPr>
              <w:t>Dịch vụ phục vụ cho công tác bán trú</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4650" w:type="pct"/>
            <w:gridSpan w:val="3"/>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Chăm sóc dinh dưỡng:</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Ti</w:t>
            </w:r>
            <w:r w:rsidRPr="003D4F34">
              <w:rPr>
                <w:rFonts w:eastAsia="Times New Roman" w:cs="Times New Roman"/>
                <w:color w:val="000000"/>
                <w:sz w:val="28"/>
                <w:szCs w:val="28"/>
              </w:rPr>
              <w:t>ề</w:t>
            </w:r>
            <w:r w:rsidRPr="003D4F34">
              <w:rPr>
                <w:rFonts w:eastAsia="Times New Roman" w:cs="Times New Roman"/>
                <w:color w:val="000000"/>
                <w:sz w:val="28"/>
                <w:szCs w:val="28"/>
                <w:lang w:val="vi-VN"/>
              </w:rPr>
              <w:t>n ăn</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Đồng/học sinh/ngày</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25.000</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Thuê người nấu ăn</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Đồng/học sinh/tháng</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100.000</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Chăm sóc giấc ngủ</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Đồng/học sinh/tháng</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120.000</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 dùng bán trú:</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 </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 </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Trang bị đầu cấp</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Đồng/học sinh/cấp học</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300.000</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Trang bị hàng năm </w:t>
            </w:r>
            <w:r w:rsidRPr="003D4F34">
              <w:rPr>
                <w:rFonts w:eastAsia="Times New Roman" w:cs="Times New Roman"/>
                <w:i/>
                <w:iCs/>
                <w:color w:val="000000"/>
                <w:sz w:val="28"/>
                <w:szCs w:val="28"/>
                <w:lang w:val="vi-VN"/>
              </w:rPr>
              <w:t>(nếu có)</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Đồng/học sinh/năm học</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100.000</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Trang thiết bị cá nhân đối với học sinh ăn, ở bán trú</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Đồng/học sinh/năm học</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30.000</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Điện sử dụng quạt, điều hòa</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Đồng/học sinh/tháng</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6.000</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2</w:t>
            </w:r>
          </w:p>
        </w:tc>
        <w:tc>
          <w:tcPr>
            <w:tcW w:w="4650" w:type="pct"/>
            <w:gridSpan w:val="3"/>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D</w:t>
            </w:r>
            <w:r w:rsidRPr="003D4F34">
              <w:rPr>
                <w:rFonts w:eastAsia="Times New Roman" w:cs="Times New Roman"/>
                <w:b/>
                <w:bCs/>
                <w:color w:val="000000"/>
                <w:sz w:val="28"/>
                <w:szCs w:val="28"/>
              </w:rPr>
              <w:t>ị</w:t>
            </w:r>
            <w:r w:rsidRPr="003D4F34">
              <w:rPr>
                <w:rFonts w:eastAsia="Times New Roman" w:cs="Times New Roman"/>
                <w:b/>
                <w:bCs/>
                <w:color w:val="000000"/>
                <w:sz w:val="28"/>
                <w:szCs w:val="28"/>
                <w:lang w:val="vi-VN"/>
              </w:rPr>
              <w:t>ch v</w:t>
            </w:r>
            <w:r w:rsidRPr="003D4F34">
              <w:rPr>
                <w:rFonts w:eastAsia="Times New Roman" w:cs="Times New Roman"/>
                <w:b/>
                <w:bCs/>
                <w:color w:val="000000"/>
                <w:sz w:val="28"/>
                <w:szCs w:val="28"/>
              </w:rPr>
              <w:t>ụ</w:t>
            </w:r>
            <w:r w:rsidRPr="003D4F34">
              <w:rPr>
                <w:rFonts w:eastAsia="Times New Roman" w:cs="Times New Roman"/>
                <w:b/>
                <w:bCs/>
                <w:color w:val="000000"/>
                <w:sz w:val="28"/>
                <w:szCs w:val="28"/>
                <w:lang w:val="vi-VN"/>
              </w:rPr>
              <w:t> ph</w:t>
            </w:r>
            <w:r w:rsidRPr="003D4F34">
              <w:rPr>
                <w:rFonts w:eastAsia="Times New Roman" w:cs="Times New Roman"/>
                <w:b/>
                <w:bCs/>
                <w:color w:val="000000"/>
                <w:sz w:val="28"/>
                <w:szCs w:val="28"/>
              </w:rPr>
              <w:t>ụ</w:t>
            </w:r>
            <w:r w:rsidRPr="003D4F34">
              <w:rPr>
                <w:rFonts w:eastAsia="Times New Roman" w:cs="Times New Roman"/>
                <w:b/>
                <w:bCs/>
                <w:color w:val="000000"/>
                <w:sz w:val="28"/>
                <w:szCs w:val="28"/>
                <w:lang w:val="vi-VN"/>
              </w:rPr>
              <w:t>c v</w:t>
            </w:r>
            <w:r w:rsidRPr="003D4F34">
              <w:rPr>
                <w:rFonts w:eastAsia="Times New Roman" w:cs="Times New Roman"/>
                <w:b/>
                <w:bCs/>
                <w:color w:val="000000"/>
                <w:sz w:val="28"/>
                <w:szCs w:val="28"/>
              </w:rPr>
              <w:t>ụ</w:t>
            </w:r>
            <w:r w:rsidRPr="003D4F34">
              <w:rPr>
                <w:rFonts w:eastAsia="Times New Roman" w:cs="Times New Roman"/>
                <w:b/>
                <w:bCs/>
                <w:color w:val="000000"/>
                <w:sz w:val="28"/>
                <w:szCs w:val="28"/>
                <w:lang w:val="vi-VN"/>
              </w:rPr>
              <w:t> tr</w:t>
            </w:r>
            <w:r w:rsidRPr="003D4F34">
              <w:rPr>
                <w:rFonts w:eastAsia="Times New Roman" w:cs="Times New Roman"/>
                <w:b/>
                <w:bCs/>
                <w:color w:val="000000"/>
                <w:sz w:val="28"/>
                <w:szCs w:val="28"/>
              </w:rPr>
              <w:t>ự</w:t>
            </w:r>
            <w:r w:rsidRPr="003D4F34">
              <w:rPr>
                <w:rFonts w:eastAsia="Times New Roman" w:cs="Times New Roman"/>
                <w:b/>
                <w:bCs/>
                <w:color w:val="000000"/>
                <w:sz w:val="28"/>
                <w:szCs w:val="28"/>
                <w:lang w:val="vi-VN"/>
              </w:rPr>
              <w:t>c tiếp cho người h</w:t>
            </w:r>
            <w:r w:rsidRPr="003D4F34">
              <w:rPr>
                <w:rFonts w:eastAsia="Times New Roman" w:cs="Times New Roman"/>
                <w:b/>
                <w:bCs/>
                <w:color w:val="000000"/>
                <w:sz w:val="28"/>
                <w:szCs w:val="28"/>
              </w:rPr>
              <w:t>ọ</w:t>
            </w:r>
            <w:r w:rsidRPr="003D4F34">
              <w:rPr>
                <w:rFonts w:eastAsia="Times New Roman" w:cs="Times New Roman"/>
                <w:b/>
                <w:bCs/>
                <w:color w:val="000000"/>
                <w:sz w:val="28"/>
                <w:szCs w:val="28"/>
                <w:lang w:val="vi-VN"/>
              </w:rPr>
              <w:t>c</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Nước uống tại lớp</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Đồng/học sinh/tháng</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8.000</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Thuê người dọn khu vực nhà vệ sinh dành cho học sinh</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Đồng/học sinh/tháng</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10.000</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Ghế ngồi chào cờ cho học sinh </w:t>
            </w:r>
            <w:r w:rsidRPr="003D4F34">
              <w:rPr>
                <w:rFonts w:eastAsia="Times New Roman" w:cs="Times New Roman"/>
                <w:i/>
                <w:iCs/>
                <w:color w:val="000000"/>
                <w:sz w:val="28"/>
                <w:szCs w:val="28"/>
                <w:lang w:val="vi-VN"/>
              </w:rPr>
              <w:t>(trang bị đầu cấp)</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Đồng/học sinh/cấp học</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35.000</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Ứng dụng công nghệ thông tin trong trao đổi thông tin liên lạc giữa nhà trường và phụ huynh học sinh</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Đồng/học sinh/năm học</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65.000</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Hoạt động trải nghiệm sau giờ chính khóa đối với giáo dục tiểu học </w:t>
            </w:r>
            <w:r w:rsidRPr="003D4F34">
              <w:rPr>
                <w:rFonts w:eastAsia="Times New Roman" w:cs="Times New Roman"/>
                <w:i/>
                <w:iCs/>
                <w:color w:val="000000"/>
                <w:sz w:val="28"/>
                <w:szCs w:val="28"/>
                <w:lang w:val="vi-VN"/>
              </w:rPr>
              <w:t>(nếu có nhu c</w:t>
            </w:r>
            <w:r w:rsidRPr="003D4F34">
              <w:rPr>
                <w:rFonts w:eastAsia="Times New Roman" w:cs="Times New Roman"/>
                <w:i/>
                <w:iCs/>
                <w:color w:val="000000"/>
                <w:sz w:val="28"/>
                <w:szCs w:val="28"/>
              </w:rPr>
              <w:t>ầ</w:t>
            </w:r>
            <w:r w:rsidRPr="003D4F34">
              <w:rPr>
                <w:rFonts w:eastAsia="Times New Roman" w:cs="Times New Roman"/>
                <w:i/>
                <w:iCs/>
                <w:color w:val="000000"/>
                <w:sz w:val="28"/>
                <w:szCs w:val="28"/>
                <w:lang w:val="vi-VN"/>
              </w:rPr>
              <w:t>u)</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Đồng/học sinh/tháng</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100.000</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3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Hoạt động giáo dục ngoài giờ lên lớp đối với giáo dục trung học cơ sở và trung học phổ thông </w:t>
            </w:r>
            <w:r w:rsidRPr="003D4F34">
              <w:rPr>
                <w:rFonts w:eastAsia="Times New Roman" w:cs="Times New Roman"/>
                <w:i/>
                <w:iCs/>
                <w:color w:val="000000"/>
                <w:sz w:val="28"/>
                <w:szCs w:val="28"/>
                <w:lang w:val="vi-VN"/>
              </w:rPr>
              <w:t>(nếu có nhu cầu)</w:t>
            </w:r>
          </w:p>
        </w:tc>
        <w:tc>
          <w:tcPr>
            <w:tcW w:w="12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Đồng/học sinh/hoạt động trải nghiệm</w:t>
            </w:r>
          </w:p>
        </w:tc>
        <w:tc>
          <w:tcPr>
            <w:tcW w:w="100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200.000</w:t>
            </w:r>
          </w:p>
        </w:tc>
      </w:tr>
    </w:tbl>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4. Khoản thu và mức thu hỗ trợ hoạt động giáo dục:</w:t>
      </w:r>
    </w:p>
    <w:tbl>
      <w:tblPr>
        <w:tblW w:w="5000" w:type="pct"/>
        <w:shd w:val="clear" w:color="auto" w:fill="FFFFFF"/>
        <w:tblCellMar>
          <w:left w:w="0" w:type="dxa"/>
          <w:right w:w="0" w:type="dxa"/>
        </w:tblCellMar>
        <w:tblLook w:val="04A0" w:firstRow="1" w:lastRow="0" w:firstColumn="1" w:lastColumn="0" w:noHBand="0" w:noVBand="1"/>
      </w:tblPr>
      <w:tblGrid>
        <w:gridCol w:w="640"/>
        <w:gridCol w:w="5445"/>
        <w:gridCol w:w="2670"/>
        <w:gridCol w:w="1601"/>
      </w:tblGrid>
      <w:tr w:rsidR="006C26ED" w:rsidRPr="003D4F34" w:rsidTr="006C26ED">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lastRenderedPageBreak/>
              <w:t>TT</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Khoản thu hỗ tr</w:t>
            </w:r>
            <w:r w:rsidRPr="003D4F34">
              <w:rPr>
                <w:rFonts w:eastAsia="Times New Roman" w:cs="Times New Roman"/>
                <w:b/>
                <w:bCs/>
                <w:color w:val="000000"/>
                <w:sz w:val="28"/>
                <w:szCs w:val="28"/>
              </w:rPr>
              <w:t>ợ</w:t>
            </w:r>
            <w:r w:rsidRPr="003D4F34">
              <w:rPr>
                <w:rFonts w:eastAsia="Times New Roman" w:cs="Times New Roman"/>
                <w:b/>
                <w:bCs/>
                <w:color w:val="000000"/>
                <w:sz w:val="28"/>
                <w:szCs w:val="28"/>
                <w:lang w:val="vi-VN"/>
              </w:rPr>
              <w:t> ho</w:t>
            </w:r>
            <w:r w:rsidRPr="003D4F34">
              <w:rPr>
                <w:rFonts w:eastAsia="Times New Roman" w:cs="Times New Roman"/>
                <w:b/>
                <w:bCs/>
                <w:color w:val="000000"/>
                <w:sz w:val="28"/>
                <w:szCs w:val="28"/>
              </w:rPr>
              <w:t>ạ</w:t>
            </w:r>
            <w:r w:rsidRPr="003D4F34">
              <w:rPr>
                <w:rFonts w:eastAsia="Times New Roman" w:cs="Times New Roman"/>
                <w:b/>
                <w:bCs/>
                <w:color w:val="000000"/>
                <w:sz w:val="28"/>
                <w:szCs w:val="28"/>
                <w:lang w:val="vi-VN"/>
              </w:rPr>
              <w:t>t đ</w:t>
            </w:r>
            <w:r w:rsidRPr="003D4F34">
              <w:rPr>
                <w:rFonts w:eastAsia="Times New Roman" w:cs="Times New Roman"/>
                <w:b/>
                <w:bCs/>
                <w:color w:val="000000"/>
                <w:sz w:val="28"/>
                <w:szCs w:val="28"/>
              </w:rPr>
              <w:t>ộ</w:t>
            </w:r>
            <w:r w:rsidRPr="003D4F34">
              <w:rPr>
                <w:rFonts w:eastAsia="Times New Roman" w:cs="Times New Roman"/>
                <w:b/>
                <w:bCs/>
                <w:color w:val="000000"/>
                <w:sz w:val="28"/>
                <w:szCs w:val="28"/>
                <w:lang w:val="vi-VN"/>
              </w:rPr>
              <w:t>ng giáo dục</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Đơn vị tính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b/>
                <w:bCs/>
                <w:color w:val="000000"/>
                <w:sz w:val="28"/>
                <w:szCs w:val="28"/>
                <w:lang w:val="vi-VN"/>
              </w:rPr>
              <w:t>Mức thu tối đa</w:t>
            </w:r>
          </w:p>
        </w:tc>
      </w:tr>
      <w:tr w:rsidR="006C26ED" w:rsidRPr="003D4F34" w:rsidTr="006C26ED">
        <w:tc>
          <w:tcPr>
            <w:tcW w:w="300" w:type="pct"/>
            <w:tcBorders>
              <w:top w:val="nil"/>
              <w:left w:val="single" w:sz="8" w:space="0" w:color="auto"/>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w:t>
            </w:r>
          </w:p>
        </w:tc>
        <w:tc>
          <w:tcPr>
            <w:tcW w:w="25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Công tác kiểm tra, đánh giá học sinh của nhà trường (Kinh phí mua giấy phục vụ công tác kiểm tra, thi; tiền Photo đề kiểm tra, đề thi...)</w:t>
            </w:r>
          </w:p>
        </w:tc>
        <w:tc>
          <w:tcPr>
            <w:tcW w:w="12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center"/>
              <w:rPr>
                <w:rFonts w:eastAsia="Times New Roman" w:cs="Times New Roman"/>
                <w:color w:val="000000"/>
                <w:sz w:val="28"/>
                <w:szCs w:val="28"/>
              </w:rPr>
            </w:pPr>
            <w:r w:rsidRPr="003D4F34">
              <w:rPr>
                <w:rFonts w:eastAsia="Times New Roman" w:cs="Times New Roman"/>
                <w:color w:val="000000"/>
                <w:sz w:val="28"/>
                <w:szCs w:val="28"/>
                <w:lang w:val="vi-VN"/>
              </w:rPr>
              <w:t>Đồng/học sinh/năm học</w:t>
            </w:r>
          </w:p>
        </w:tc>
        <w:tc>
          <w:tcPr>
            <w:tcW w:w="750" w:type="pct"/>
            <w:tcBorders>
              <w:top w:val="nil"/>
              <w:left w:val="nil"/>
              <w:bottom w:val="single" w:sz="8" w:space="0" w:color="auto"/>
              <w:right w:val="single" w:sz="8" w:space="0" w:color="auto"/>
            </w:tcBorders>
            <w:shd w:val="clear" w:color="auto" w:fill="FFFFFF"/>
            <w:vAlign w:val="center"/>
            <w:hideMark/>
          </w:tcPr>
          <w:p w:rsidR="006C26ED" w:rsidRPr="003D4F34" w:rsidRDefault="006C26ED" w:rsidP="006C26ED">
            <w:pPr>
              <w:spacing w:before="120" w:after="100" w:afterAutospacing="1" w:line="240" w:lineRule="auto"/>
              <w:jc w:val="right"/>
              <w:rPr>
                <w:rFonts w:eastAsia="Times New Roman" w:cs="Times New Roman"/>
                <w:color w:val="000000"/>
                <w:sz w:val="28"/>
                <w:szCs w:val="28"/>
              </w:rPr>
            </w:pPr>
            <w:r w:rsidRPr="003D4F34">
              <w:rPr>
                <w:rFonts w:eastAsia="Times New Roman" w:cs="Times New Roman"/>
                <w:color w:val="000000"/>
                <w:sz w:val="28"/>
                <w:szCs w:val="28"/>
                <w:lang w:val="vi-VN"/>
              </w:rPr>
              <w:t>50.000</w:t>
            </w:r>
          </w:p>
        </w:tc>
      </w:tr>
    </w:tbl>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5. Nguyên tắc thực hiện</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a) Các cơ sở giáo dục chỉ thu các khoản thu dịch vụ phục vụ, hỗ trợ hoạt động giáo dục để chi cho các khoản thật sự cần thiết phát sinh trong thực tế mà ngân sách nhà nước không đảm bảo hoặc chỉ đảm bảo một phần. Mức thu không vượt quá mức thu tối đa quy định tại Nghị quyết này. Các cơ sở giáo dục thực hiện thu, chi đúng mục đích, tiết kiệm, hiệu quả, công khai, minh bạch, phù hợp với điều kiện kinh tế - xã hội, thu nhập bình quân của từng địa bàn và phải được sự đồng thuận của cha mẹ học sinh.</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Các cơ sở giáo dục được tiếp nhận tài trợ của các tổ chức, cá nhân đ</w:t>
      </w:r>
      <w:r w:rsidRPr="003D4F34">
        <w:rPr>
          <w:rFonts w:eastAsia="Times New Roman" w:cs="Times New Roman"/>
          <w:color w:val="000000"/>
          <w:sz w:val="28"/>
          <w:szCs w:val="28"/>
        </w:rPr>
        <w:t>ể</w:t>
      </w:r>
      <w:r w:rsidRPr="003D4F34">
        <w:rPr>
          <w:rFonts w:eastAsia="Times New Roman" w:cs="Times New Roman"/>
          <w:color w:val="000000"/>
          <w:sz w:val="28"/>
          <w:szCs w:val="28"/>
          <w:lang w:val="vi-VN"/>
        </w:rPr>
        <w:t> nâng cao chất lượng giáo dục, phát triển nhà trường nhưng phải bảo đảm rõ về mục đích tài trợ và sử dụng các nguồn tài trợ đúng mục đích, thực hiện công khai, minh bạch theo quy định của pháp luật.</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b) Các cơ sở giáo dục tổ chức cho học sinh ăn bán trú phải đảm bảo các điều kiện về cơ sở vật chất và trang thiết bị phục vụ bán trú theo quy định. Các cơ sở giáo dục đặt suất ăn với các đơn vị cung cấp ngoài trường thì không được thu các khoản thuê người nấu ăn, phục vụ và đồ dùng bán trú quy định tại Nghị quyết này.</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c) Đối với các khoản thu thuê người nấu ăn; chăm sóc giấc ngủ các cơ sở giáo dục sử dụng 80% nguồn thu chi trả thù lao cho người trực tiếp nấu ăn, thực hiện nhiệm vụ giữ trẻ buổi trưa; 20% chi trả cho công tác quản lý hành chính, cán bộ, nhân viên có liên quan.</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d) Ngoài các khoản kinh phí được thu theo quy định; các khoản thu dịch vụ phục vụ, hỗ trợ hoạt động giáo dục của nhà trường tại Nghị quyết này và tiếp nhận tài trợ, các cơ sở giáo dục công lập trên địa bàn tỉnh Đắk Nông không được thỏa thuận bất cứ khoản thu nào khác.</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6. Chế độ miễn, giảm</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Căn cứ tình hình thực tế, các cơ sở giáo dục và Ban đại diện cha mẹ học sinh xem xét, thống nhất miễn, giảm mức thu một số khoản thu cụ thể thấp hơn đối với học sinh ở các thôn, buôn đặc biệt khó khăn, thuộc hộ nghèo, cận nghèo, học sinh khuyết tật, học sinh mồ côi cha mẹ,...</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bookmarkStart w:id="3" w:name="dieu_2"/>
      <w:r w:rsidRPr="003D4F34">
        <w:rPr>
          <w:rFonts w:eastAsia="Times New Roman" w:cs="Times New Roman"/>
          <w:b/>
          <w:bCs/>
          <w:color w:val="000000"/>
          <w:sz w:val="28"/>
          <w:szCs w:val="28"/>
          <w:lang w:val="vi-VN"/>
        </w:rPr>
        <w:t>Điều 2. Tổ chức thực hiện</w:t>
      </w:r>
      <w:bookmarkEnd w:id="3"/>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1. Giao Ủy ban nhân dân tỉnh tổ chức triển khai Nghị quyết này.</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Hướng dẫn chi tiết, cụ thể nội dung chi các khoản và công tác quản lý thu, chi đảm bảo công khai minh bạch và đúng quy định hiện hành.</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2. Giao Thường trực Hội đồng nhân dân, các Ban của Hội đồng nhân dân, Tổ đại biểu và các đại biểu Hội đồng nhân dân tỉnh giám sát việc thực hiện Nghị quyết này.</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lastRenderedPageBreak/>
        <w:t>Nghị quyết này đã được Hội đồng nhân dân tỉnh Đắk Nông Khóa IV, Kỳ họp thứ 2 thông qua ngày 20 tháng 8 năm 2021 và có hiệu lực từ ngày 01 tháng 9 năm 2021./.</w:t>
      </w:r>
    </w:p>
    <w:p w:rsidR="006C26ED" w:rsidRPr="003D4F34" w:rsidRDefault="006C26ED" w:rsidP="006C26ED">
      <w:pPr>
        <w:shd w:val="clear" w:color="auto" w:fill="FEFAF4"/>
        <w:spacing w:before="120" w:after="100" w:afterAutospacing="1" w:line="240" w:lineRule="auto"/>
        <w:jc w:val="both"/>
        <w:rPr>
          <w:rFonts w:eastAsia="Times New Roman" w:cs="Times New Roman"/>
          <w:color w:val="000000"/>
          <w:sz w:val="28"/>
          <w:szCs w:val="28"/>
        </w:rPr>
      </w:pPr>
      <w:r w:rsidRPr="003D4F34">
        <w:rPr>
          <w:rFonts w:eastAsia="Times New Roman" w:cs="Times New Roman"/>
          <w:color w:val="000000"/>
          <w:sz w:val="28"/>
          <w:szCs w:val="28"/>
          <w:lang w:val="vi-VN"/>
        </w:rPr>
        <w:t> </w:t>
      </w:r>
    </w:p>
    <w:tbl>
      <w:tblPr>
        <w:tblW w:w="11890" w:type="dxa"/>
        <w:tblCellMar>
          <w:left w:w="0" w:type="dxa"/>
          <w:right w:w="0" w:type="dxa"/>
        </w:tblCellMar>
        <w:tblLook w:val="04A0" w:firstRow="1" w:lastRow="0" w:firstColumn="1" w:lastColumn="0" w:noHBand="0" w:noVBand="1"/>
      </w:tblPr>
      <w:tblGrid>
        <w:gridCol w:w="5945"/>
        <w:gridCol w:w="5945"/>
      </w:tblGrid>
      <w:tr w:rsidR="006C26ED" w:rsidRPr="003D4F34" w:rsidTr="006C26ED">
        <w:tc>
          <w:tcPr>
            <w:tcW w:w="4428" w:type="dxa"/>
            <w:tcMar>
              <w:top w:w="0" w:type="dxa"/>
              <w:left w:w="108" w:type="dxa"/>
              <w:bottom w:w="0" w:type="dxa"/>
              <w:right w:w="108" w:type="dxa"/>
            </w:tcMar>
            <w:hideMark/>
          </w:tcPr>
          <w:p w:rsidR="006C26ED" w:rsidRPr="003D4F34" w:rsidRDefault="006C26ED" w:rsidP="006C26ED">
            <w:pPr>
              <w:spacing w:before="120" w:after="100" w:afterAutospacing="1" w:line="240" w:lineRule="auto"/>
              <w:rPr>
                <w:rFonts w:eastAsia="Times New Roman" w:cs="Times New Roman"/>
                <w:color w:val="000000"/>
                <w:sz w:val="28"/>
                <w:szCs w:val="28"/>
              </w:rPr>
            </w:pPr>
            <w:r w:rsidRPr="003D4F34">
              <w:rPr>
                <w:rFonts w:eastAsia="Times New Roman" w:cs="Times New Roman"/>
                <w:color w:val="000000"/>
                <w:sz w:val="28"/>
                <w:szCs w:val="28"/>
                <w:lang w:val="vi-VN"/>
              </w:rPr>
              <w:br/>
            </w:r>
            <w:r w:rsidRPr="003D4F34">
              <w:rPr>
                <w:rFonts w:eastAsia="Times New Roman" w:cs="Times New Roman"/>
                <w:b/>
                <w:bCs/>
                <w:i/>
                <w:iCs/>
                <w:color w:val="000000"/>
                <w:sz w:val="28"/>
                <w:szCs w:val="28"/>
                <w:lang w:val="vi-VN"/>
              </w:rPr>
              <w:t>Nơi nhận:</w:t>
            </w:r>
            <w:r w:rsidRPr="003D4F34">
              <w:rPr>
                <w:rFonts w:eastAsia="Times New Roman" w:cs="Times New Roman"/>
                <w:b/>
                <w:bCs/>
                <w:i/>
                <w:iCs/>
                <w:color w:val="000000"/>
                <w:sz w:val="28"/>
                <w:szCs w:val="28"/>
                <w:lang w:val="vi-VN"/>
              </w:rPr>
              <w:br/>
            </w:r>
            <w:r w:rsidRPr="003D4F34">
              <w:rPr>
                <w:rFonts w:eastAsia="Times New Roman" w:cs="Times New Roman"/>
                <w:color w:val="000000"/>
                <w:sz w:val="28"/>
                <w:szCs w:val="28"/>
                <w:lang w:val="vi-VN"/>
              </w:rPr>
              <w:t>- UBTV Quốc hội; Chính phủ;</w:t>
            </w:r>
            <w:r w:rsidRPr="003D4F34">
              <w:rPr>
                <w:rFonts w:eastAsia="Times New Roman" w:cs="Times New Roman"/>
                <w:color w:val="000000"/>
                <w:sz w:val="28"/>
                <w:szCs w:val="28"/>
                <w:lang w:val="vi-VN"/>
              </w:rPr>
              <w:br/>
              <w:t>- Ban Công tác Đại biểu </w:t>
            </w:r>
            <w:r w:rsidRPr="003D4F34">
              <w:rPr>
                <w:rFonts w:eastAsia="Times New Roman" w:cs="Times New Roman"/>
                <w:color w:val="000000"/>
                <w:sz w:val="28"/>
                <w:szCs w:val="28"/>
              </w:rPr>
              <w:t>- </w:t>
            </w:r>
            <w:r w:rsidRPr="003D4F34">
              <w:rPr>
                <w:rFonts w:eastAsia="Times New Roman" w:cs="Times New Roman"/>
                <w:color w:val="000000"/>
                <w:sz w:val="28"/>
                <w:szCs w:val="28"/>
                <w:lang w:val="vi-VN"/>
              </w:rPr>
              <w:t>UBTVQH;</w:t>
            </w:r>
            <w:r w:rsidRPr="003D4F34">
              <w:rPr>
                <w:rFonts w:eastAsia="Times New Roman" w:cs="Times New Roman"/>
                <w:color w:val="000000"/>
                <w:sz w:val="28"/>
                <w:szCs w:val="28"/>
                <w:lang w:val="vi-VN"/>
              </w:rPr>
              <w:br/>
              <w:t>- Các Bộ: GD&amp;ĐT, Tài chính;</w:t>
            </w:r>
            <w:r w:rsidRPr="003D4F34">
              <w:rPr>
                <w:rFonts w:eastAsia="Times New Roman" w:cs="Times New Roman"/>
                <w:color w:val="000000"/>
                <w:sz w:val="28"/>
                <w:szCs w:val="28"/>
                <w:lang w:val="vi-VN"/>
              </w:rPr>
              <w:br/>
              <w:t>- Cục Kiểm tra văn bản QPPL-Bộ Tư pháp;</w:t>
            </w:r>
            <w:r w:rsidRPr="003D4F34">
              <w:rPr>
                <w:rFonts w:eastAsia="Times New Roman" w:cs="Times New Roman"/>
                <w:color w:val="000000"/>
                <w:sz w:val="28"/>
                <w:szCs w:val="28"/>
                <w:lang w:val="vi-VN"/>
              </w:rPr>
              <w:br/>
              <w:t>- Thường trực: Tỉnh ủy, HĐND tỉnh;</w:t>
            </w:r>
            <w:r w:rsidRPr="003D4F34">
              <w:rPr>
                <w:rFonts w:eastAsia="Times New Roman" w:cs="Times New Roman"/>
                <w:color w:val="000000"/>
                <w:sz w:val="28"/>
                <w:szCs w:val="28"/>
                <w:lang w:val="vi-VN"/>
              </w:rPr>
              <w:br/>
              <w:t>- UBND tỉnh; UB MTTQ VN tỉnh;</w:t>
            </w:r>
            <w:r w:rsidRPr="003D4F34">
              <w:rPr>
                <w:rFonts w:eastAsia="Times New Roman" w:cs="Times New Roman"/>
                <w:color w:val="000000"/>
                <w:sz w:val="28"/>
                <w:szCs w:val="28"/>
                <w:lang w:val="vi-VN"/>
              </w:rPr>
              <w:br/>
              <w:t>- Đoàn ĐBQH tỉnh;</w:t>
            </w:r>
            <w:r w:rsidRPr="003D4F34">
              <w:rPr>
                <w:rFonts w:eastAsia="Times New Roman" w:cs="Times New Roman"/>
                <w:color w:val="000000"/>
                <w:sz w:val="28"/>
                <w:szCs w:val="28"/>
                <w:lang w:val="vi-VN"/>
              </w:rPr>
              <w:br/>
              <w:t>- Các Ban Đảng của Tỉnh ủy; Trường Chính trị tỉnh;</w:t>
            </w:r>
            <w:r w:rsidRPr="003D4F34">
              <w:rPr>
                <w:rFonts w:eastAsia="Times New Roman" w:cs="Times New Roman"/>
                <w:color w:val="000000"/>
                <w:sz w:val="28"/>
                <w:szCs w:val="28"/>
                <w:lang w:val="vi-VN"/>
              </w:rPr>
              <w:br/>
              <w:t>- Các Ban HĐND tỉnh; các đại biểu HĐND tỉnh;</w:t>
            </w:r>
            <w:r w:rsidRPr="003D4F34">
              <w:rPr>
                <w:rFonts w:eastAsia="Times New Roman" w:cs="Times New Roman"/>
                <w:color w:val="000000"/>
                <w:sz w:val="28"/>
                <w:szCs w:val="28"/>
                <w:lang w:val="vi-VN"/>
              </w:rPr>
              <w:br/>
              <w:t>- VP: Tỉnh ủy, Đoàn ĐBQH &amp; HĐND tỉnh, UBND tỉnh;</w:t>
            </w:r>
            <w:r w:rsidRPr="003D4F34">
              <w:rPr>
                <w:rFonts w:eastAsia="Times New Roman" w:cs="Times New Roman"/>
                <w:color w:val="000000"/>
                <w:sz w:val="28"/>
                <w:szCs w:val="28"/>
                <w:lang w:val="vi-VN"/>
              </w:rPr>
              <w:br/>
              <w:t>- Các Sở, Ban, ngành và đoàn thể cấp tỉnh;</w:t>
            </w:r>
            <w:r w:rsidRPr="003D4F34">
              <w:rPr>
                <w:rFonts w:eastAsia="Times New Roman" w:cs="Times New Roman"/>
                <w:color w:val="000000"/>
                <w:sz w:val="28"/>
                <w:szCs w:val="28"/>
                <w:lang w:val="vi-VN"/>
              </w:rPr>
              <w:br/>
              <w:t>- HĐND, UBND các huyện, thành phố;</w:t>
            </w:r>
            <w:r w:rsidRPr="003D4F34">
              <w:rPr>
                <w:rFonts w:eastAsia="Times New Roman" w:cs="Times New Roman"/>
                <w:color w:val="000000"/>
                <w:sz w:val="28"/>
                <w:szCs w:val="28"/>
                <w:lang w:val="vi-VN"/>
              </w:rPr>
              <w:br/>
              <w:t>- Báo Đắk Nông, Đài PT&amp;TH tỉnh;</w:t>
            </w:r>
            <w:r w:rsidRPr="003D4F34">
              <w:rPr>
                <w:rFonts w:eastAsia="Times New Roman" w:cs="Times New Roman"/>
                <w:color w:val="000000"/>
                <w:sz w:val="28"/>
                <w:szCs w:val="28"/>
                <w:lang w:val="vi-VN"/>
              </w:rPr>
              <w:br/>
              <w:t>- Công báo tỉnh, </w:t>
            </w:r>
            <w:r w:rsidRPr="003D4F34">
              <w:rPr>
                <w:rFonts w:eastAsia="Times New Roman" w:cs="Times New Roman"/>
                <w:color w:val="000000"/>
                <w:sz w:val="28"/>
                <w:szCs w:val="28"/>
              </w:rPr>
              <w:t>C</w:t>
            </w:r>
            <w:r w:rsidRPr="003D4F34">
              <w:rPr>
                <w:rFonts w:eastAsia="Times New Roman" w:cs="Times New Roman"/>
                <w:color w:val="000000"/>
                <w:sz w:val="28"/>
                <w:szCs w:val="28"/>
                <w:lang w:val="vi-VN"/>
              </w:rPr>
              <w:t>ổng TTĐT tỉnh;</w:t>
            </w:r>
            <w:r w:rsidRPr="003D4F34">
              <w:rPr>
                <w:rFonts w:eastAsia="Times New Roman" w:cs="Times New Roman"/>
                <w:color w:val="000000"/>
                <w:sz w:val="28"/>
                <w:szCs w:val="28"/>
                <w:lang w:val="vi-VN"/>
              </w:rPr>
              <w:br/>
              <w:t>- Trung tâm Lưu trữ tỉnh;</w:t>
            </w:r>
            <w:r w:rsidRPr="003D4F34">
              <w:rPr>
                <w:rFonts w:eastAsia="Times New Roman" w:cs="Times New Roman"/>
                <w:color w:val="000000"/>
                <w:sz w:val="28"/>
                <w:szCs w:val="28"/>
                <w:lang w:val="vi-VN"/>
              </w:rPr>
              <w:br/>
              <w:t>- Lưu: VT, CTHĐ, HC-TC-QT, HSKH.</w:t>
            </w:r>
          </w:p>
        </w:tc>
        <w:tc>
          <w:tcPr>
            <w:tcW w:w="4428" w:type="dxa"/>
            <w:tcMar>
              <w:top w:w="0" w:type="dxa"/>
              <w:left w:w="108" w:type="dxa"/>
              <w:bottom w:w="0" w:type="dxa"/>
              <w:right w:w="108" w:type="dxa"/>
            </w:tcMar>
            <w:hideMark/>
          </w:tcPr>
          <w:p w:rsidR="006C26ED" w:rsidRPr="003D4F34" w:rsidRDefault="006C26ED" w:rsidP="006C26ED">
            <w:pPr>
              <w:spacing w:before="120" w:after="100" w:afterAutospacing="1" w:line="240" w:lineRule="auto"/>
              <w:rPr>
                <w:rFonts w:eastAsia="Times New Roman" w:cs="Times New Roman"/>
                <w:color w:val="000000"/>
                <w:sz w:val="28"/>
                <w:szCs w:val="28"/>
              </w:rPr>
            </w:pPr>
            <w:r w:rsidRPr="003D4F34">
              <w:rPr>
                <w:rFonts w:eastAsia="Times New Roman" w:cs="Times New Roman"/>
                <w:b/>
                <w:bCs/>
                <w:color w:val="000000"/>
                <w:sz w:val="28"/>
                <w:szCs w:val="28"/>
                <w:lang w:val="vi-VN"/>
              </w:rPr>
              <w:t>CHỦ T</w:t>
            </w:r>
            <w:r w:rsidRPr="003D4F34">
              <w:rPr>
                <w:rFonts w:eastAsia="Times New Roman" w:cs="Times New Roman"/>
                <w:b/>
                <w:bCs/>
                <w:color w:val="000000"/>
                <w:sz w:val="28"/>
                <w:szCs w:val="28"/>
              </w:rPr>
              <w:t>Ị</w:t>
            </w:r>
            <w:r w:rsidRPr="003D4F34">
              <w:rPr>
                <w:rFonts w:eastAsia="Times New Roman" w:cs="Times New Roman"/>
                <w:b/>
                <w:bCs/>
                <w:color w:val="000000"/>
                <w:sz w:val="28"/>
                <w:szCs w:val="28"/>
                <w:lang w:val="vi-VN"/>
              </w:rPr>
              <w:t>CH</w:t>
            </w:r>
            <w:r w:rsidRPr="003D4F34">
              <w:rPr>
                <w:rFonts w:eastAsia="Times New Roman" w:cs="Times New Roman"/>
                <w:b/>
                <w:bCs/>
                <w:color w:val="000000"/>
                <w:sz w:val="28"/>
                <w:szCs w:val="28"/>
              </w:rPr>
              <w:br/>
            </w:r>
            <w:r w:rsidRPr="003D4F34">
              <w:rPr>
                <w:rFonts w:eastAsia="Times New Roman" w:cs="Times New Roman"/>
                <w:b/>
                <w:bCs/>
                <w:color w:val="000000"/>
                <w:sz w:val="28"/>
                <w:szCs w:val="28"/>
              </w:rPr>
              <w:br/>
            </w:r>
            <w:r w:rsidRPr="003D4F34">
              <w:rPr>
                <w:rFonts w:eastAsia="Times New Roman" w:cs="Times New Roman"/>
                <w:b/>
                <w:bCs/>
                <w:color w:val="000000"/>
                <w:sz w:val="28"/>
                <w:szCs w:val="28"/>
              </w:rPr>
              <w:br/>
            </w:r>
            <w:r w:rsidRPr="003D4F34">
              <w:rPr>
                <w:rFonts w:eastAsia="Times New Roman" w:cs="Times New Roman"/>
                <w:b/>
                <w:bCs/>
                <w:color w:val="000000"/>
                <w:sz w:val="28"/>
                <w:szCs w:val="28"/>
              </w:rPr>
              <w:br/>
            </w:r>
            <w:r w:rsidRPr="003D4F34">
              <w:rPr>
                <w:rFonts w:eastAsia="Times New Roman" w:cs="Times New Roman"/>
                <w:b/>
                <w:bCs/>
                <w:color w:val="000000"/>
                <w:sz w:val="28"/>
                <w:szCs w:val="28"/>
              </w:rPr>
              <w:br/>
              <w:t xml:space="preserve">Lưu </w:t>
            </w:r>
            <w:bookmarkStart w:id="4" w:name="_GoBack"/>
            <w:bookmarkEnd w:id="4"/>
            <w:r w:rsidRPr="003D4F34">
              <w:rPr>
                <w:rFonts w:eastAsia="Times New Roman" w:cs="Times New Roman"/>
                <w:b/>
                <w:bCs/>
                <w:color w:val="000000"/>
                <w:sz w:val="28"/>
                <w:szCs w:val="28"/>
              </w:rPr>
              <w:t>Văn Trung</w:t>
            </w:r>
          </w:p>
        </w:tc>
      </w:tr>
    </w:tbl>
    <w:p w:rsidR="00344A26" w:rsidRPr="003D4F34" w:rsidRDefault="00344A26" w:rsidP="006C26ED">
      <w:pPr>
        <w:rPr>
          <w:rFonts w:cs="Times New Roman"/>
          <w:sz w:val="28"/>
          <w:szCs w:val="28"/>
        </w:rPr>
      </w:pPr>
    </w:p>
    <w:sectPr w:rsidR="00344A26" w:rsidRPr="003D4F34" w:rsidSect="003D4F34">
      <w:pgSz w:w="11907" w:h="16840" w:code="9"/>
      <w:pgMar w:top="851" w:right="680"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ED"/>
    <w:rsid w:val="00007EA8"/>
    <w:rsid w:val="00344A26"/>
    <w:rsid w:val="003D4F34"/>
    <w:rsid w:val="006C26ED"/>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B5749-7374-44E6-8701-9A28F2F0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6E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5689</Characters>
  <Application>Microsoft Office Word</Application>
  <DocSecurity>0</DocSecurity>
  <Lines>47</Lines>
  <Paragraphs>13</Paragraphs>
  <ScaleCrop>false</ScaleCrop>
  <Company>Microsoft</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2023-01-11T20:19:00Z</dcterms:created>
  <dcterms:modified xsi:type="dcterms:W3CDTF">2023-01-11T20:22:00Z</dcterms:modified>
</cp:coreProperties>
</file>